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2017/17 vom 29. Mai 2018</w:t>
      </w:r>
    </w:p>
    <w:p>
      <w:r>
        <w:t>Sg Versicherungsgericht, 2018-05-29, DE</w:t>
      </w:r>
    </w:p>
    <w:p>
      <w:r>
        <w:rPr>
          <w:b/>
        </w:rPr>
        <w:t xml:space="preserve">Quelle: </w:t>
      </w:r>
      <w:r>
        <w:t>https://mcp.opencaselaw.ch/entscheid/sg_publikationen_EL 2017_17</w:t>
      </w:r>
    </w:p>
    <w:p>
      <w:r>
        <w:t>FR: SG_VERSICHERUNGSGERICHT EL 2017/17 du 29 mai 2018</w:t>
      </w:r>
    </w:p>
    <w:p>
      <w:r>
        <w:t>IT: SG_VERSICHERUNGSGERICHT EL 2017/17 del 29 maggio 2018</w:t>
      </w:r>
    </w:p>
    <w:p>
      <w:pPr>
        <w:pStyle w:val="Heading2"/>
      </w:pPr>
      <w:r>
        <w:t>Regeste</w:t>
      </w:r>
    </w:p>
    <w:p>
      <w:r>
        <w:t>Art. 17 Abs. 2 ATSG. Revision der Ergänzungsleistungen. Sogenannte „Kalenderjahr-Praxis“. Eine jährliche Ergänzungsleistung kann wie jede andere Dauerleistung einer Sozialversicherung jederzeit mittels einer Revision angepasst werden, sofern sich der massgebende Sachverhalt massgebend verändert hat. Die künstliche Befristung der Rechtsbeständigkeit einer EL-Verfügung auf ein Kalenderjahr ist folglich unnötig. Die entsprechende Praxis findet auch keine ausreichende Grundlage im Gesetz (Entscheid des Versicherungsgerichts des Kantons St. Gallen vom 29. Mai 2018, EL 2017/17). Aufgehoben durch Urteil des Bundesgerichts 9C_480/2018.</w:t>
      </w:r>
    </w:p>
    <w:p>
      <w:pPr>
        <w:pStyle w:val="Heading2"/>
      </w:pPr>
      <w:r>
        <w:t>Erwägungen</w:t>
      </w:r>
    </w:p>
    <w:p>
      <w:r>
        <w:rPr>
          <w:b/>
        </w:rPr>
        <w:t>E. 1</w:t>
      </w:r>
    </w:p>
    <w:p>
      <w:r>
        <w:t>Die Beschwerdeführerin bezieht selbst keine Ergänzungsleistung, sondern erhält lediglich einen – gesondert berechneten – Teil der Ergänzungsleistung des eigentlichen EL-Bezügers, nämlich ihres Vaters, direkt ausbezahlt. Zur Erhebung einer Beschwerde an das kantonale Versicherungsgericht ist allerdings gemäss dem Art. 59 ATSG nicht nur der Bezüger einer Sozialversicherungsleistung, sondern jede Person legitimiert, die durch eine Verfügung oder durch einen Einspracheentscheid berührt ist und die ein schutzwürdiges Interesse an der Aufhebung oder Abänderung der Verfügung respektive des Einspracheentscheides hat. Als Empfängerin eines Teils der Ergänzungsleistung ihres Vaters ist die Beschwerdeführerin durch den angefochtenen Einspracheentscheid offensichtlich berührt. Da die Höhe des ihr direkt ausbezahlten Teils der Ergänzungsleistung ihres Vaters einen unmittelbaren Einfluss auf ihre finanzielle Lage hat und unter anderem für die Beantwortung der Frage entscheidend ist, ob die Beschwerdeführerin Sozialhilfeleistungen beziehen muss, hat sie ein schutzwürdiges Interesse an der Abänderung oder Aufhebung des angefochtenen Einspracheentscheides. Sie ist folglich im Sinne des Art. 59 ATSG zur Erhebung einer Beschwerde gegen den angefochtenen Einspracheentscheid legitimiert. Da auch die übrigen Eintretensvoraussetzungen erfüllt sind, ist auf die Beschwerde einzutreten.</w:t>
      </w:r>
    </w:p>
    <w:p>
      <w:r>
        <w:rPr>
          <w:b/>
        </w:rPr>
        <w:t>E. 2</w:t>
      </w:r>
    </w:p>
    <w:p>
      <w:r>
        <w:t>2.1  Mit der Verfügung vom 19. Dezember 2016 hat die Beschwerdegegnerin ein gewöhnliches Revisionsverfahren im Sinne des Art. 17 Abs. 2 ATSG auf den Jahreswechsel 2016/2017 hin abgeschlossen. Ein Vergleich der Berechnungsblätter zu den Verfügungen vom 19. Dezember 2016 und vom 21. Dezember 2015 zeigt, dass sich nur die kantonale Durchschnittsprämie für die obligatorische Krankenpflegeversicherung verändert hat. Im Einspracheverfahren, das mit dem angefochtenen Entscheid vom 14. März 2017 abgeschlossen worden ist, hätte die Beschwerdegegnerin folglich nur prüfen dürfen, ob es rechtmässig gewesen ist, die Prämienpauschale zu erhöhen und die übrigen Berechnungspositionen unverändert zu lassen. 2.2  Die Beschwerdegegnerin hat im angefochtenen Einspracheentscheid unter Hinweis auf eine entsprechende Praxis des Bundesgerichtes festgehalten, dass eine EL-Verfügung immer nur für ein Kalenderjahr verbindlich sei und dass deshalb im Rahmen einer Anpassung der Ergänzungsleistung auf den Beginn eines neuen Kalenderjahrs hin sämtliche Anspruchspositionen frei geprüft werden könnten (sog. „Kalenderjahr-Praxis“). Diese Auffassung beruht auf einem falschen Verständnis des Wortlautes der materiellen Bestimmungen des ELG. Diese verwenden zwar den Ausdruck „jährliche Ergänzungsleistung“, aber das bezieht sich nur auf die Anspruchsberechnung. Gemeint ist, dass bei der Anspruchsberechnung mit Jahreswerten zu rechnen sei, wie die Materialien zum ELG eindeutig belegen (vgl. RALPH JÖHL, Ergänzungsleistungen zur AHV/IV, in: Bundessozialversicherungsrecht, Band XIV Soziale Sicherheit, 3. Aufl. 2016, Rz. 5, mit Hinweisen). Eine verfahrensrechtliche Bedeutung ist damit nicht verbunden. Die Interpretation des Bundesgerichtes lässt sich auch in systematischer Hinsicht nicht halten, denn eine derart weitreichende Abweichung vom allgemeinen Sozialversicherungsverfahrensrecht, laut dem Dauerleistungen in aller Regel unbefristet zugesprochen werden und der Revision (Art. 17 ATSG) unterstehen, hätte explizit in einer der (wenigen) Verfahrensnormen des ELG statuiert werden müssen. Zudem wäre es nicht nachvollziehbar, wenn die „Grundleistung“ (eine Rente der ersten Säule) unbefristet, die ergänzende Leistung aber nur jeweils zeitlich auf ein Kalenderjahr befristet zugesprochen würde, zumal sich die Versicherten in ihrer Lebensplanung darauf verlassen können müssen, die einmal zugesprochenen Leistungen ausgerichtet zu erhalten, solange sich die tatsächlichen Verhältnisse nicht wesentlich verändern (vgl. JÖHL, a.a.O., Rz. 16). Da angesichts der jederzeitigen Revisionsmöglichkeit offensichtlich keine verfahrensrechtliche Notwendigkeit für die Beschränkung der Rechtsbeständigkeit der EL-Verfügungen auf ein Kalenderjahr besteht (vgl. JÖHL, a.a.O., Rz. 17), hält die Auffassung des Bundesgerichtes auch einer teleologischen Interpretation nicht stand. Im Übrigen hätte die Auffassung des Bundesgerichtes zur Folge, dass immer auf den 1. Januar eine umfassende Überprüfung aller Einnahmen- und Ausgabenpositionen erfolgen müsste, denn die Neufestsetzung unterstünde in vollem Umfang dem Untersuchungsgrundsatz (Art. 43 Abs. 1 ATSG). Schliesslich hat das Bundesgericht selbst schon verschiedentlich festgehalten, dass ein EL-Ansprecher nicht mehrfach dieselben Berechnungsgrundlagen beanstanden könne, ohne sich dem Vorwurf einer mutwilligen Prozessführung auszusetzen (z.B. Urteil 8C_94/2007 vom 15. April 2008; Urteil 9C_52/2015 vom 3. Juli 2015), was nichts anderes bedeuten kann, als dass die Verfügungen eben doch eine Rechtsbeständigkeit über den Ablauf eines Kalenderjahres hinaus entfalten (vgl. JÖHL, a.a.O., Rz. 18). Auch in der Lehre wird selbst von Autoren, die für die „Kalenderjahr-Praxis“ plädieren, die Auffassung vertreten, dass EL-Verfügungen teilweise über einen Kalenderjahreswechsel hinaus rechtsbeständig blieben: „Wo es aber nicht zu solchen erheblichen Änderungen kommt, geht die Verwaltungspraxis zu Recht davon aus, dass eine Verfügung über eine jährliche Ergänzungsleistung gilt, bis sich die für den Anspruch massgebenden Verhältnisse rechtserheblich ändern“ (ULRICH MEYER-BLASER, Die Anpassung von Ergänzungsleistungen wegen Sachverhaltsveränderungen, in: René Schaffhauser/Franz Schlauri [Hrsg.], Die Revision von Dauerleistungen in der Sozialversicherung, 1999, S. 34). Entgegen der Auffassung der Beschwerdegegnerin hat die Verfügung vom 19. Dezember 2016 also gemäss der ständigen Praxis des Versicherungsgerichtes des Kantons St. Gallen keine umfassende Prüfung sämtlicher Anspruchspositionen erlaubt beziehungsweise erfordert. Hinsichtlich der Heimtaxe hat folglich nur geprüft werden dürfen, ob diesbezüglich eine massgebende Veränderung eingetreten war. Das ist nicht der Fall gewesen, denn die Tagestaxe hat sich gemäss einer Rechnung vom November 2016 nach wie vor auf 180 Franken belaufen. Folglich sind die Voraussetzungen für eine revisionsweise Korrektur der entsprechenden Berechnungsposition nicht erfüllt gewesen. Im Ergebnis erweist sich der Einspracheentscheid vom 14. März 2017 als rechtmässig.</w:t>
      </w:r>
    </w:p>
    <w:p>
      <w:r>
        <w:rPr>
          <w:b/>
        </w:rPr>
        <w:t>E. 3</w:t>
      </w:r>
    </w:p>
    <w:p>
      <w:r>
        <w:t>Der Staat hat den Rechtsvertreter der Beschwerdeführerin mit 1’600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